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44"/>
          <w:lang w:eastAsia="zh-CN"/>
        </w:rPr>
        <w:t>行政复议受理范围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eastAsia="zh-CN"/>
        </w:rPr>
      </w:pP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对行政机关作出的警告、罚款、没收违法所得、没收非法财物、责令停产停业、暂扣或者吊销许可证、暂扣或者吊销执照、行政拘留等行政处罚决定不服的；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对行政机关作出的限制人身自由或者查封、扣押、冻结财产等行政强制措施决定不服的；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对行政机关作出的有关许可证、执照、资质证、资格证等证书变更、中止、撤销的决定不服的；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对行政机关作出的关于确认土地、矿藏、水流、森林、山岭、草原、荒地、滩涂、海域等自然资源的所有权或者使用权的决定不服的；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认为行政机关侵犯合法的经营自主权的；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认为行政机关变更或者废止农业承包合同，侵犯其合法权益的；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认为行政机关违法集资、征收财物、摊派费用或者违法要求履行其他义务的；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认为符合法定条件，申请行政机关颁发许可证、执照、资质证、资格证等证书，或者申请行政机关审批、登记有关事项，行政机关没有依法办理的；</w:t>
      </w:r>
    </w:p>
    <w:p>
      <w:pPr>
        <w:numPr>
          <w:ilvl w:val="0"/>
          <w:numId w:val="1"/>
        </w:num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申请行政机关履行保护人身权利、财产权利、受教育权利的法定职责，行政机关没有依法履行的；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申请行政机关依法发放抚恤金、社会保险金或者最低生活保障费，行政机关没有依法发放的；</w:t>
      </w: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认为行政机关的其他具体行政行为侵犯其合法权益的。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BF3D1"/>
    <w:multiLevelType w:val="singleLevel"/>
    <w:tmpl w:val="0BCBF3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14CAB"/>
    <w:rsid w:val="09214CAB"/>
    <w:rsid w:val="5A756CFB"/>
    <w:rsid w:val="6F23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2021-09-07T03:24:00Z</dcterms:created>
  <dc:creator>佳</dc:creator>
  <cp:lastModifiedBy>佳</cp:lastModifiedBy>
  <dcterms:modified xsi:type="dcterms:W3CDTF">2021-09-07T08:03:38Z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136D9275656C43469DF6BA0E200E0219</vt:lpwstr>
  </property>
</Properties>
</file>