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caps w:val="0"/>
          <w:color w:val="383838"/>
          <w:spacing w:val="0"/>
          <w:sz w:val="18"/>
          <w:szCs w:val="18"/>
        </w:rPr>
      </w:pPr>
      <w:r>
        <w:rPr>
          <w:rFonts w:hint="eastAsia" w:ascii="微软雅黑" w:hAnsi="微软雅黑" w:eastAsia="微软雅黑" w:cs="微软雅黑"/>
          <w:i w:val="0"/>
          <w:caps w:val="0"/>
          <w:color w:val="383838"/>
          <w:spacing w:val="0"/>
          <w:sz w:val="18"/>
          <w:szCs w:val="18"/>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bookmarkStart w:id="0" w:name="_GoBack"/>
      <w:r>
        <w:rPr>
          <w:rFonts w:hint="eastAsia" w:ascii="宋体" w:hAnsi="宋体" w:eastAsia="宋体" w:cs="宋体"/>
          <w:b/>
          <w:i w:val="0"/>
          <w:caps w:val="0"/>
          <w:color w:val="383838"/>
          <w:spacing w:val="0"/>
          <w:sz w:val="44"/>
          <w:szCs w:val="44"/>
          <w:shd w:val="clear" w:fill="FFFFFF"/>
        </w:rPr>
        <w:t>濮阳市强制隔离戒毒所2015年度决算说明</w:t>
      </w:r>
    </w:p>
    <w:bookmarkEnd w:id="0"/>
    <w:p>
      <w:pPr>
        <w:pStyle w:val="2"/>
        <w:keepNext w:val="0"/>
        <w:keepLines w:val="0"/>
        <w:widowControl/>
        <w:suppressLineNumbers w:val="0"/>
        <w:shd w:val="clear" w:fill="FFFFFF"/>
        <w:spacing w:before="0" w:beforeAutospacing="0" w:after="0" w:afterAutospacing="0" w:line="240" w:lineRule="atLeast"/>
        <w:ind w:left="3380" w:right="0" w:firstLine="0"/>
        <w:jc w:val="both"/>
        <w:rPr>
          <w:rFonts w:hint="eastAsia" w:ascii="微软雅黑" w:hAnsi="微软雅黑" w:eastAsia="微软雅黑" w:cs="微软雅黑"/>
          <w:i w:val="0"/>
          <w:caps w:val="0"/>
          <w:color w:val="383838"/>
          <w:spacing w:val="0"/>
          <w:sz w:val="18"/>
          <w:szCs w:val="18"/>
        </w:rPr>
      </w:pPr>
      <w:r>
        <w:rPr>
          <w:rFonts w:ascii="黑体" w:hAnsi="宋体" w:eastAsia="黑体" w:cs="黑体"/>
          <w:i w:val="0"/>
          <w:caps w:val="0"/>
          <w:color w:val="383838"/>
          <w:spacing w:val="0"/>
          <w:sz w:val="44"/>
          <w:szCs w:val="44"/>
          <w:shd w:val="clear" w:fill="FFFFFF"/>
        </w:rPr>
        <w:t> </w:t>
      </w:r>
    </w:p>
    <w:p>
      <w:pPr>
        <w:pStyle w:val="2"/>
        <w:keepNext w:val="0"/>
        <w:keepLines w:val="0"/>
        <w:widowControl/>
        <w:suppressLineNumbers w:val="0"/>
        <w:shd w:val="clear" w:fill="FFFFFF"/>
        <w:spacing w:before="0" w:beforeAutospacing="0" w:after="0" w:afterAutospacing="0" w:line="240" w:lineRule="atLeast"/>
        <w:ind w:left="3380" w:right="0" w:firstLine="0"/>
        <w:jc w:val="both"/>
        <w:rPr>
          <w:rFonts w:hint="eastAsia" w:ascii="微软雅黑" w:hAnsi="微软雅黑" w:eastAsia="微软雅黑" w:cs="微软雅黑"/>
          <w:i w:val="0"/>
          <w:caps w:val="0"/>
          <w:color w:val="383838"/>
          <w:spacing w:val="0"/>
          <w:sz w:val="18"/>
          <w:szCs w:val="18"/>
        </w:rPr>
      </w:pPr>
      <w:r>
        <w:rPr>
          <w:rFonts w:hint="eastAsia" w:ascii="黑体" w:hAnsi="宋体" w:eastAsia="黑体" w:cs="黑体"/>
          <w:i w:val="0"/>
          <w:caps w:val="0"/>
          <w:color w:val="383838"/>
          <w:spacing w:val="0"/>
          <w:sz w:val="44"/>
          <w:szCs w:val="44"/>
          <w:shd w:val="clear" w:fill="FFFFFF"/>
        </w:rPr>
        <w:t>目</w:t>
      </w:r>
      <w:r>
        <w:rPr>
          <w:rFonts w:hint="default" w:ascii="Times New Roman" w:hAnsi="Times New Roman" w:eastAsia="微软雅黑" w:cs="Times New Roman"/>
          <w:i w:val="0"/>
          <w:caps w:val="0"/>
          <w:color w:val="383838"/>
          <w:spacing w:val="0"/>
          <w:sz w:val="21"/>
          <w:szCs w:val="21"/>
          <w:shd w:val="clear" w:fill="FFFFFF"/>
        </w:rPr>
        <w:t> </w:t>
      </w:r>
      <w:r>
        <w:rPr>
          <w:rFonts w:hint="eastAsia" w:ascii="黑体" w:hAnsi="宋体" w:eastAsia="黑体" w:cs="黑体"/>
          <w:i w:val="0"/>
          <w:caps w:val="0"/>
          <w:color w:val="383838"/>
          <w:spacing w:val="0"/>
          <w:sz w:val="44"/>
          <w:szCs w:val="44"/>
          <w:shd w:val="clear" w:fill="FFFFFF"/>
        </w:rPr>
        <w:t>录</w:t>
      </w:r>
    </w:p>
    <w:p>
      <w:pPr>
        <w:pStyle w:val="2"/>
        <w:keepNext w:val="0"/>
        <w:keepLines w:val="0"/>
        <w:widowControl/>
        <w:suppressLineNumbers w:val="0"/>
        <w:shd w:val="clear" w:fill="FFFFFF"/>
        <w:spacing w:before="0" w:beforeAutospacing="0" w:after="0" w:afterAutospacing="0" w:line="200" w:lineRule="atLeast"/>
        <w:ind w:left="0" w:right="0" w:firstLine="0"/>
        <w:jc w:val="both"/>
        <w:rPr>
          <w:rFonts w:hint="eastAsia" w:ascii="微软雅黑" w:hAnsi="微软雅黑" w:eastAsia="微软雅黑" w:cs="微软雅黑"/>
          <w:i w:val="0"/>
          <w:caps w:val="0"/>
          <w:color w:val="383838"/>
          <w:spacing w:val="0"/>
          <w:sz w:val="18"/>
          <w:szCs w:val="18"/>
        </w:rPr>
      </w:pPr>
      <w:r>
        <w:rPr>
          <w:rFonts w:hint="default" w:ascii="Times New Roman" w:hAnsi="Times New Roman" w:eastAsia="微软雅黑" w:cs="Times New Roman"/>
          <w:i w:val="0"/>
          <w:caps w:val="0"/>
          <w:color w:val="383838"/>
          <w:spacing w:val="0"/>
          <w:sz w:val="21"/>
          <w:szCs w:val="21"/>
          <w:shd w:val="clear" w:fill="FFFFFF"/>
        </w:rPr>
        <w:t> </w:t>
      </w:r>
    </w:p>
    <w:p>
      <w:pPr>
        <w:pStyle w:val="2"/>
        <w:keepNext w:val="0"/>
        <w:keepLines w:val="0"/>
        <w:widowControl/>
        <w:suppressLineNumbers w:val="0"/>
        <w:shd w:val="clear" w:fill="FFFFFF"/>
        <w:spacing w:before="0" w:beforeAutospacing="0" w:after="0" w:afterAutospacing="0" w:line="200" w:lineRule="atLeast"/>
        <w:ind w:left="0" w:right="0" w:firstLine="0"/>
        <w:jc w:val="both"/>
        <w:rPr>
          <w:rFonts w:hint="eastAsia" w:ascii="微软雅黑" w:hAnsi="微软雅黑" w:eastAsia="微软雅黑" w:cs="微软雅黑"/>
          <w:i w:val="0"/>
          <w:caps w:val="0"/>
          <w:color w:val="383838"/>
          <w:spacing w:val="0"/>
          <w:sz w:val="18"/>
          <w:szCs w:val="18"/>
        </w:rPr>
      </w:pPr>
      <w:r>
        <w:rPr>
          <w:rFonts w:hint="default" w:ascii="Times New Roman" w:hAnsi="Times New Roman" w:eastAsia="微软雅黑" w:cs="Times New Roman"/>
          <w:i w:val="0"/>
          <w:caps w:val="0"/>
          <w:color w:val="383838"/>
          <w:spacing w:val="0"/>
          <w:sz w:val="21"/>
          <w:szCs w:val="21"/>
          <w:shd w:val="clear" w:fill="FFFFFF"/>
        </w:rPr>
        <w:t> </w:t>
      </w:r>
    </w:p>
    <w:p>
      <w:pPr>
        <w:pStyle w:val="2"/>
        <w:keepNext w:val="0"/>
        <w:keepLines w:val="0"/>
        <w:widowControl/>
        <w:suppressLineNumbers w:val="0"/>
        <w:shd w:val="clear" w:fill="FFFFFF"/>
        <w:spacing w:before="0" w:beforeAutospacing="0" w:after="0" w:afterAutospacing="0" w:line="381" w:lineRule="atLeast"/>
        <w:ind w:left="0" w:right="0" w:firstLine="0"/>
        <w:jc w:val="both"/>
        <w:rPr>
          <w:rFonts w:hint="eastAsia" w:ascii="微软雅黑" w:hAnsi="微软雅黑" w:eastAsia="微软雅黑" w:cs="微软雅黑"/>
          <w:i w:val="0"/>
          <w:caps w:val="0"/>
          <w:color w:val="383838"/>
          <w:spacing w:val="0"/>
          <w:sz w:val="18"/>
          <w:szCs w:val="18"/>
        </w:rPr>
      </w:pPr>
      <w:r>
        <w:rPr>
          <w:rFonts w:hint="default" w:ascii="Times New Roman" w:hAnsi="Times New Roman" w:eastAsia="微软雅黑" w:cs="Times New Roman"/>
          <w:i w:val="0"/>
          <w:caps w:val="0"/>
          <w:color w:val="383838"/>
          <w:spacing w:val="0"/>
          <w:sz w:val="30"/>
          <w:szCs w:val="30"/>
          <w:shd w:val="clear" w:fill="FFFFFF"/>
        </w:rPr>
        <w:t> </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ascii="仿宋_GB2312" w:hAnsi="微软雅黑" w:eastAsia="仿宋_GB2312" w:cs="仿宋_GB2312"/>
          <w:i w:val="0"/>
          <w:caps w:val="0"/>
          <w:color w:val="383838"/>
          <w:spacing w:val="0"/>
          <w:sz w:val="30"/>
          <w:szCs w:val="30"/>
          <w:shd w:val="clear" w:fill="FFFFFF"/>
        </w:rPr>
        <w:t>第一部分</w:t>
      </w:r>
      <w:r>
        <w:rPr>
          <w:rFonts w:hint="eastAsia" w:ascii="仿宋_GB2312" w:hAnsi="微软雅黑" w:eastAsia="仿宋_GB2312" w:cs="仿宋_GB2312"/>
          <w:i w:val="0"/>
          <w:caps w:val="0"/>
          <w:color w:val="383838"/>
          <w:spacing w:val="0"/>
          <w:sz w:val="30"/>
          <w:szCs w:val="30"/>
          <w:shd w:val="clear" w:fill="FFFFFF"/>
        </w:rPr>
        <w:t> 概况</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一、主要职能</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二、机构设置</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第二部分 2015年度决算表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表一、收入支出决算总表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表二、收入决算表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表三、支出决算表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表四、财政拨款收入支出决算总表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表五、一般公共预算财政拨款支出决算表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表六、一般公共预算财政拨款基本支出决算表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表七、一般公共预算财政拨款“三公”经费支出决算表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表八、政府性基金预算财政拨款收入支出决算表  </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第三部分 2015年度决算情况说明</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第四部分 名词解释</w:t>
      </w:r>
    </w:p>
    <w:p>
      <w:pPr>
        <w:pStyle w:val="2"/>
        <w:keepNext w:val="0"/>
        <w:keepLines w:val="0"/>
        <w:widowControl/>
        <w:suppressLineNumbers w:val="0"/>
        <w:jc w:val="both"/>
      </w:pPr>
    </w:p>
    <w:p>
      <w:pPr>
        <w:pStyle w:val="2"/>
        <w:keepNext w:val="0"/>
        <w:keepLines w:val="0"/>
        <w:widowControl/>
        <w:suppressLineNumbers w:val="0"/>
        <w:shd w:val="clear" w:fill="FFFFFF"/>
        <w:spacing w:before="0" w:beforeAutospacing="0" w:after="0" w:afterAutospacing="0" w:line="270" w:lineRule="atLeast"/>
        <w:ind w:left="0" w:right="0" w:firstLine="0"/>
        <w:jc w:val="center"/>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第一部分 概况</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一、主要职能</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（一）严格执行党和国家的禁毒工作方针政策、法律法规，履行国家赋予的收治强制隔离戒毒人员职责。</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（二）负责所政管理、生活卫生管理、戒毒管理、戒毒康复管理工作，维护戒毒所秩序稳定。</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（三）负责警戒护卫工作，防御外部势力捣乱、袭击和破坏，保护戒毒所安全。</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（四）负责组织实施戒毒人员的思想教育、文化教育、技术教育，提高戒毒人员教育矫治效果。</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（五）负责组织戒毒人员从事生产劳动，进行生产劳动矫治，提高生产劳动技能。</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（六）负责解除人员回归社会移交工作，配合地方做好社会治安综合治理工作。</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（七）负责戒毒所发展规划、基本建设、武器装备、所政管理、财务及国有资产的管理。</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（八）负责戒毒所民警队伍建设和思想政治工作。</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二、机构设置</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濮阳市强制隔离戒毒所设有办公室、政工科、管理科、教育科、戒毒科、生活卫生科、信息中心和四个管教大队共11个科室队</w:t>
      </w:r>
      <w:r>
        <w:rPr>
          <w:rFonts w:ascii="仿宋" w:hAnsi="仿宋" w:eastAsia="仿宋" w:cs="仿宋"/>
          <w:i w:val="0"/>
          <w:caps w:val="0"/>
          <w:color w:val="383838"/>
          <w:spacing w:val="0"/>
          <w:sz w:val="30"/>
          <w:szCs w:val="30"/>
          <w:shd w:val="clear" w:fill="FFFFFF"/>
        </w:rPr>
        <w:t>。</w:t>
      </w:r>
      <w:r>
        <w:rPr>
          <w:rFonts w:hint="eastAsia" w:ascii="仿宋_GB2312" w:hAnsi="微软雅黑" w:eastAsia="仿宋_GB2312" w:cs="仿宋_GB2312"/>
          <w:i w:val="0"/>
          <w:caps w:val="0"/>
          <w:color w:val="383838"/>
          <w:spacing w:val="0"/>
          <w:sz w:val="30"/>
          <w:szCs w:val="30"/>
          <w:shd w:val="clear" w:fill="FFFFFF"/>
        </w:rPr>
        <w:t>本部门没有独立核算的下级预算单位，部门本级决算即汇</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总决算。</w:t>
      </w:r>
    </w:p>
    <w:p>
      <w:pPr>
        <w:pStyle w:val="2"/>
        <w:keepNext w:val="0"/>
        <w:keepLines w:val="0"/>
        <w:widowControl/>
        <w:suppressLineNumbers w:val="0"/>
        <w:jc w:val="both"/>
      </w:pPr>
    </w:p>
    <w:p>
      <w:pPr>
        <w:pStyle w:val="2"/>
        <w:keepNext w:val="0"/>
        <w:keepLines w:val="0"/>
        <w:widowControl/>
        <w:suppressLineNumbers w:val="0"/>
        <w:shd w:val="clear" w:fill="FFFFFF"/>
        <w:spacing w:before="0" w:beforeAutospacing="0" w:after="0" w:afterAutospacing="0" w:line="240" w:lineRule="atLeast"/>
        <w:ind w:left="0" w:right="0" w:firstLine="0"/>
        <w:jc w:val="center"/>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第二部分 2015年度决算表</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 </w:t>
      </w:r>
    </w:p>
    <w:tbl>
      <w:tblPr>
        <w:tblW w:w="13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419"/>
        <w:gridCol w:w="504"/>
        <w:gridCol w:w="3552"/>
        <w:gridCol w:w="3336"/>
        <w:gridCol w:w="504"/>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3419"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552" w:type="dxa"/>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收入支出决算总表</w:t>
            </w:r>
          </w:p>
        </w:tc>
        <w:tc>
          <w:tcPr>
            <w:tcW w:w="3336"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091"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552"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336"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091" w:type="dxa"/>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50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55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2015年度</w:t>
            </w:r>
          </w:p>
        </w:tc>
        <w:tc>
          <w:tcPr>
            <w:tcW w:w="333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09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7475" w:type="dxa"/>
            <w:gridSpan w:val="3"/>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收入</w:t>
            </w:r>
          </w:p>
        </w:tc>
        <w:tc>
          <w:tcPr>
            <w:tcW w:w="5931"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50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355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c>
          <w:tcPr>
            <w:tcW w:w="333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50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209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一、财政拨款收入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15733968.20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一、一般公共服务支出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30</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二、上级补助收入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二、外交支出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31</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三、事业收入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三、国防支出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32</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四、经营收入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四、公共安全支出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33</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13859924.54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五、附属单位上缴收入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五、教育支出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34</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六、其他收入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六、科学技术支出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35</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7</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七、文化体育与传媒支出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36</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8</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八、社会保障和就业支出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37</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1259758.20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9</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九、医疗卫生与计划生育支出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38</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10</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十、节能环保支出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39</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11</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十一、城乡社区支出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40</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12</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十二、农林水支出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41</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13</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十三、交通运输支出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42</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14</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十四、资源勘探信息等支出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43</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15</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十五、商业服务业等支出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44</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16</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十六、金融支出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45</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17</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十七、援助其他地区支出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46</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383838"/>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18</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十八、国土海洋气象等支出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47</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19</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十九、住房保障支出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48</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20</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二十、粮油物资储备支出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49</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21</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二十一、其他支出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50</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22</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二十二、债务还本支出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51</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23</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二十三、债务付息支出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52</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24</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53</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本年收入合计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25</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15733968.20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本年支出合计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54</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15812582.74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用事业基金弥补收支差额</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26</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结余分配</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55</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年初结转和结余</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27</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1976797.54</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年末结转和结余</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56</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1898183.00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28</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57</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b/>
                <w:i w:val="0"/>
                <w:color w:val="000000"/>
                <w:sz w:val="20"/>
                <w:szCs w:val="20"/>
              </w:rPr>
              <w:t>总计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29</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17710765.74</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b/>
                <w:i w:val="0"/>
                <w:color w:val="000000"/>
                <w:sz w:val="20"/>
                <w:szCs w:val="20"/>
              </w:rPr>
              <w:t>总计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58</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17710765.74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3406" w:type="dxa"/>
            <w:gridSpan w:val="6"/>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注：本表反映部门本年度的总收支和年末结转结余情况。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5"/>
        <w:gridCol w:w="928"/>
        <w:gridCol w:w="928"/>
        <w:gridCol w:w="3352"/>
        <w:gridCol w:w="1764"/>
        <w:gridCol w:w="1342"/>
        <w:gridCol w:w="850"/>
        <w:gridCol w:w="934"/>
        <w:gridCol w:w="934"/>
        <w:gridCol w:w="934"/>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5" w:hRule="atLeast"/>
        </w:trPr>
        <w:tc>
          <w:tcPr>
            <w:tcW w:w="13200" w:type="dxa"/>
            <w:gridSpan w:val="11"/>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5"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8"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8"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352"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6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42"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850"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863" w:type="dxa"/>
            <w:gridSpan w:val="2"/>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513" w:type="dxa"/>
            <w:gridSpan w:val="4"/>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383838"/>
                <w:sz w:val="22"/>
                <w:szCs w:val="22"/>
              </w:rPr>
              <w:t>部门：河南省濮阳市强制隔离戒毒所</w:t>
            </w:r>
          </w:p>
        </w:tc>
        <w:tc>
          <w:tcPr>
            <w:tcW w:w="176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42" w:type="dxa"/>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2015年度</w:t>
            </w:r>
          </w:p>
        </w:tc>
        <w:tc>
          <w:tcPr>
            <w:tcW w:w="850"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863" w:type="dxa"/>
            <w:gridSpan w:val="2"/>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513"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1764"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本年收入合计</w:t>
            </w:r>
          </w:p>
        </w:tc>
        <w:tc>
          <w:tcPr>
            <w:tcW w:w="1342"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财政拨款收入</w:t>
            </w:r>
          </w:p>
        </w:tc>
        <w:tc>
          <w:tcPr>
            <w:tcW w:w="850"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上级补助收入</w:t>
            </w:r>
          </w:p>
        </w:tc>
        <w:tc>
          <w:tcPr>
            <w:tcW w:w="934"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事业收入</w:t>
            </w:r>
          </w:p>
        </w:tc>
        <w:tc>
          <w:tcPr>
            <w:tcW w:w="934"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经营收入</w:t>
            </w:r>
          </w:p>
        </w:tc>
        <w:tc>
          <w:tcPr>
            <w:tcW w:w="934" w:type="dxa"/>
            <w:vMerge w:val="restart"/>
            <w:tcBorders>
              <w:top w:val="single" w:color="000000" w:sz="4" w:space="0"/>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附属单位上缴收入</w:t>
            </w:r>
          </w:p>
        </w:tc>
        <w:tc>
          <w:tcPr>
            <w:tcW w:w="92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3352"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352"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352"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352"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513"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513"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15733968.20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15733968.20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公共安全支出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13781310.00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13781310.00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20408</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强制隔离戒毒</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13781310.00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13781310.00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行政运行</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5163310.00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5163310.00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2040802</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一般行政管理事务</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1880000.00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1880000.00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2040804</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强制隔离戒毒人员生活</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621000.00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621000.00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2040805</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强制隔离戒毒人员教育</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2040806</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firstLine="200"/>
              <w:jc w:val="left"/>
            </w:pPr>
            <w:r>
              <w:rPr>
                <w:rFonts w:hint="eastAsia" w:ascii="宋体" w:hAnsi="宋体" w:eastAsia="宋体" w:cs="宋体"/>
                <w:i w:val="0"/>
                <w:color w:val="000000"/>
                <w:sz w:val="20"/>
                <w:szCs w:val="20"/>
              </w:rPr>
              <w:t>所政设施建设</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4550000.00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4550000.00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2040899</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其他强制隔离戒毒支出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1517000.00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1517000.00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社会保障和就业支出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1259758.20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1259758.20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20805</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行政事业单位离退休</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1155648.20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1155648.20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归口管理的行政单位离退休</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1155648.20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1155648.20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20808</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抚恤</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104110.00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104110.00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2080801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死亡抚恤</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104110.00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104110.00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医疗卫生与计划生育支出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192900., 00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21005</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医疗保障</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2100501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行政单位医疗</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192900.00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192900.00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200" w:type="dxa"/>
            <w:gridSpan w:val="11"/>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注：本表反映部门本年度取得的各项收入情况。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9"/>
        <w:gridCol w:w="911"/>
        <w:gridCol w:w="911"/>
        <w:gridCol w:w="3294"/>
        <w:gridCol w:w="1752"/>
        <w:gridCol w:w="1241"/>
        <w:gridCol w:w="1241"/>
        <w:gridCol w:w="1074"/>
        <w:gridCol w:w="1102"/>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5" w:hRule="atLeast"/>
        </w:trPr>
        <w:tc>
          <w:tcPr>
            <w:tcW w:w="13050"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99"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1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1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2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5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7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0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15"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175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2015年度</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7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0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15"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175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本年支出合计</w:t>
            </w:r>
          </w:p>
        </w:tc>
        <w:tc>
          <w:tcPr>
            <w:tcW w:w="124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基本支出</w:t>
            </w:r>
          </w:p>
        </w:tc>
        <w:tc>
          <w:tcPr>
            <w:tcW w:w="124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项目支出</w:t>
            </w:r>
          </w:p>
        </w:tc>
        <w:tc>
          <w:tcPr>
            <w:tcW w:w="107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上缴上级支出</w:t>
            </w:r>
          </w:p>
        </w:tc>
        <w:tc>
          <w:tcPr>
            <w:tcW w:w="110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经营支出</w:t>
            </w:r>
          </w:p>
        </w:tc>
        <w:tc>
          <w:tcPr>
            <w:tcW w:w="122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3294" w:type="dxa"/>
            <w:vMerge w:val="restart"/>
            <w:tcBorders>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94" w:type="dxa"/>
            <w:vMerge w:val="continue"/>
            <w:tcBorders>
              <w:bottom w:val="single" w:color="000000" w:sz="4" w:space="0"/>
            </w:tcBorders>
            <w:shd w:val="clear"/>
            <w:vAlign w:val="center"/>
          </w:tcPr>
          <w:p>
            <w:pPr>
              <w:rPr>
                <w:rFonts w:hint="eastAsia" w:ascii="宋体"/>
                <w:color w:val="383838"/>
                <w:sz w:val="18"/>
                <w:szCs w:val="18"/>
              </w:rPr>
            </w:pP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94" w:type="dxa"/>
            <w:vMerge w:val="continue"/>
            <w:tcBorders>
              <w:bottom w:val="single" w:color="000000" w:sz="4" w:space="0"/>
            </w:tcBorders>
            <w:shd w:val="clear"/>
            <w:vAlign w:val="center"/>
          </w:tcPr>
          <w:p>
            <w:pPr>
              <w:rPr>
                <w:rFonts w:hint="eastAsia" w:ascii="宋体"/>
                <w:color w:val="383838"/>
                <w:sz w:val="18"/>
                <w:szCs w:val="18"/>
              </w:rPr>
            </w:pP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94" w:type="dxa"/>
            <w:vMerge w:val="continue"/>
            <w:tcBorders>
              <w:bottom w:val="single" w:color="000000" w:sz="4" w:space="0"/>
            </w:tcBorders>
            <w:shd w:val="clear"/>
            <w:vAlign w:val="center"/>
          </w:tcPr>
          <w:p>
            <w:pPr>
              <w:rPr>
                <w:rFonts w:hint="eastAsia" w:ascii="宋体"/>
                <w:color w:val="383838"/>
                <w:sz w:val="18"/>
                <w:szCs w:val="18"/>
              </w:rPr>
            </w:pP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15"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15"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15812582.74</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7236968.20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8575614.54</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公共安全支出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13859924.54</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5784310.00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8075614.54</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20408</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强制隔离戒毒</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13859924.54</w:t>
            </w:r>
          </w:p>
        </w:tc>
        <w:tc>
          <w:tcPr>
            <w:tcW w:w="1241" w:type="dxa"/>
            <w:tcBorders>
              <w:bottom w:val="nil"/>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5784310.00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8075614.54</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行政运行</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5163310.00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5163310.00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2040802</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一般行政管理事务</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1958614.54</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1958614.54</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2040804</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强制隔离戒毒人员生活</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621000.00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621000.00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2040805</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强制隔离戒毒人员教育</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2040806</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所政设施建设</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4550000.00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4550000.00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2040899</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其他强制隔离戒毒支出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1517000.00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1517000.00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社会保障和就业支出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1259758.20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1259758.20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20805</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行政事业单位离退休</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1155648.20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1155648.20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归口管理的行政单位离退休</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1156648.20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1155648.20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1" w:after="0" w:afterAutospacing="0" w:line="360" w:lineRule="atLeast"/>
              <w:ind w:left="0" w:right="0"/>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20808</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抚恤</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104110.00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104110.00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2080801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死亡抚恤</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104110.00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104110.00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医疗卫生与计划生育支出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21005</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医疗保障</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2100501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行政单位医疗</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192900.00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192900.00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212</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城乡社区支出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500000.00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500000.00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21203</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城乡社区公共设施</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2120399</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其他城乡社区公共设施支出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050"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注：本表反映部门本年度各项支出情况。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2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560"/>
        <w:gridCol w:w="366"/>
        <w:gridCol w:w="2581"/>
        <w:gridCol w:w="2422"/>
        <w:gridCol w:w="481"/>
        <w:gridCol w:w="1443"/>
        <w:gridCol w:w="1221"/>
        <w:gridCol w:w="10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trPr>
        <w:tc>
          <w:tcPr>
            <w:tcW w:w="12154" w:type="dxa"/>
            <w:gridSpan w:val="9"/>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24"/>
                <w:szCs w:val="24"/>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56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58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42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48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4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80" w:type="dxa"/>
            <w:gridSpan w:val="2"/>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8"/>
                <w:szCs w:val="18"/>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部门：河南省濮阳市强制隔离戒毒所</w:t>
            </w:r>
          </w:p>
        </w:tc>
        <w:tc>
          <w:tcPr>
            <w:tcW w:w="366"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58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422"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8"/>
                <w:szCs w:val="18"/>
              </w:rPr>
              <w:t>2015年度</w:t>
            </w:r>
          </w:p>
        </w:tc>
        <w:tc>
          <w:tcPr>
            <w:tcW w:w="48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43"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80" w:type="dxa"/>
            <w:gridSpan w:val="2"/>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5507" w:type="dxa"/>
            <w:gridSpan w:val="3"/>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收入</w:t>
            </w:r>
          </w:p>
        </w:tc>
        <w:tc>
          <w:tcPr>
            <w:tcW w:w="6647" w:type="dxa"/>
            <w:gridSpan w:val="6"/>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2560"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36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258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c>
          <w:tcPr>
            <w:tcW w:w="2422" w:type="dxa"/>
            <w:vMerge w:val="restart"/>
            <w:tcBorders>
              <w:top w:val="single" w:color="000000" w:sz="4" w:space="0"/>
              <w:left w:val="nil"/>
              <w:bottom w:val="single" w:color="000000" w:sz="4" w:space="0"/>
              <w:right w:val="single" w:color="000000" w:sz="4" w:space="0"/>
            </w:tcBorders>
            <w:shd w:val="clear"/>
            <w:vAlign w:val="bottom"/>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48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144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合计</w:t>
            </w:r>
          </w:p>
        </w:tc>
        <w:tc>
          <w:tcPr>
            <w:tcW w:w="1326" w:type="dxa"/>
            <w:gridSpan w:val="2"/>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一般公共预算财政拨款</w:t>
            </w:r>
          </w:p>
        </w:tc>
        <w:tc>
          <w:tcPr>
            <w:tcW w:w="97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66"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258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2422" w:type="dxa"/>
            <w:vMerge w:val="continue"/>
            <w:tcBorders>
              <w:top w:val="single" w:color="000000" w:sz="4" w:space="0"/>
              <w:left w:val="nil"/>
              <w:bottom w:val="single" w:color="000000" w:sz="4" w:space="0"/>
              <w:right w:val="single" w:color="000000" w:sz="4" w:space="0"/>
            </w:tcBorders>
            <w:shd w:val="clear"/>
            <w:vAlign w:val="bottom"/>
          </w:tcPr>
          <w:p>
            <w:pPr>
              <w:rPr>
                <w:rFonts w:hint="eastAsia" w:ascii="宋体"/>
                <w:color w:val="383838"/>
                <w:sz w:val="18"/>
                <w:szCs w:val="18"/>
              </w:rPr>
            </w:pPr>
          </w:p>
        </w:tc>
        <w:tc>
          <w:tcPr>
            <w:tcW w:w="48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4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32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97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2422" w:type="dxa"/>
            <w:tcBorders>
              <w:top w:val="nil"/>
              <w:left w:val="nil"/>
              <w:bottom w:val="single" w:color="000000" w:sz="4" w:space="0"/>
              <w:right w:val="single" w:color="000000" w:sz="4" w:space="0"/>
            </w:tcBorders>
            <w:shd w:val="clear"/>
            <w:vAlign w:val="bottom"/>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326"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9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一、一般公共预算财政拨款</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15733968.20</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一、一般公共服务支出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31</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二、政府性基金预算财政拨款</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二、外交支出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32</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三、国防支出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33</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四、公共安全支出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34</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13859924.54</w:t>
            </w:r>
          </w:p>
        </w:tc>
        <w:tc>
          <w:tcPr>
            <w:tcW w:w="1326" w:type="dxa"/>
            <w:gridSpan w:val="2"/>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13859924.54</w:t>
            </w:r>
          </w:p>
        </w:tc>
        <w:tc>
          <w:tcPr>
            <w:tcW w:w="9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五、教育支出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35</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6</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六、科学技术支出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36</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7</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七、文化体育与传媒支出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37</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8</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八、社会保障和就业支出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38</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1259758.20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1259758.20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9</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九、医疗卫生与计划生育支出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39</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192900.00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192900.00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10</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十、节能环保支出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40</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11</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十一、城乡社区支出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41</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500000.00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500000.00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12</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十二、农林水支出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42</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13</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十三、交通运输支出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43</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14</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十四、资源勘探信息等支出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44</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15</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十五、商业服务业等支出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45</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16</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十六、金融支出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i w:val="0"/>
                <w:color w:val="000000"/>
                <w:sz w:val="16"/>
                <w:szCs w:val="16"/>
              </w:rPr>
              <w:t>46</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17</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十七、援助其他地区支出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47</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18</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十八、国土海洋气象等支出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48</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19</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十九、住房保障支出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49</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20</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二十、粮油物资储备支出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50</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21</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二十一、其他支出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51</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22</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二十二、债务还本支出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52</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23</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二十三、债务付息支出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53</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24</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54</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本年收入合计</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25</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15733968.20</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本年支出合计</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55</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15812582..74</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15812582.74</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年初财政拨款结转和结余</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26</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1976797.54</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年末财政拨款结转和结余</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56</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1" w:after="0" w:afterAutospacing="1" w:line="360" w:lineRule="atLeast"/>
              <w:ind w:left="0" w:right="0"/>
            </w:pPr>
            <w:r>
              <w:rPr>
                <w:rFonts w:hint="eastAsia" w:ascii="宋体" w:hAnsi="宋体" w:eastAsia="宋体" w:cs="宋体"/>
                <w:i w:val="0"/>
                <w:color w:val="000000"/>
                <w:sz w:val="16"/>
                <w:szCs w:val="16"/>
              </w:rPr>
              <w:t>1898183.00</w:t>
            </w:r>
          </w:p>
        </w:tc>
        <w:tc>
          <w:tcPr>
            <w:tcW w:w="1326" w:type="dxa"/>
            <w:gridSpan w:val="2"/>
            <w:tcBorders>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1898183.00</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一般公共预算财政拨款</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27</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1976797.54</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57</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政府性基金预算财政拨款</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28</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58</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29</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59</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总计</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30</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17710765.74</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总计</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60</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17710765.74</w:t>
            </w:r>
          </w:p>
        </w:tc>
        <w:tc>
          <w:tcPr>
            <w:tcW w:w="1326"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17710765.74</w:t>
            </w:r>
          </w:p>
        </w:tc>
        <w:tc>
          <w:tcPr>
            <w:tcW w:w="9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154" w:type="dxa"/>
            <w:gridSpan w:val="9"/>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注：本表反映部门本年度一般公共预算财政拨款和政府性基金预算财政拨款的总收支和年末结转结余情况。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10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4"/>
        <w:gridCol w:w="894"/>
        <w:gridCol w:w="894"/>
        <w:gridCol w:w="2869"/>
        <w:gridCol w:w="2613"/>
        <w:gridCol w:w="172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1074" w:type="dxa"/>
            <w:gridSpan w:val="7"/>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8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8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869"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61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2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8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4951"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261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2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2015年度</w:t>
            </w:r>
          </w:p>
        </w:tc>
        <w:tc>
          <w:tcPr>
            <w:tcW w:w="178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4951"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w:t>
            </w:r>
          </w:p>
        </w:tc>
        <w:tc>
          <w:tcPr>
            <w:tcW w:w="261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本年支出合计</w:t>
            </w:r>
          </w:p>
        </w:tc>
        <w:tc>
          <w:tcPr>
            <w:tcW w:w="172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基本支出</w:t>
            </w:r>
          </w:p>
        </w:tc>
        <w:tc>
          <w:tcPr>
            <w:tcW w:w="178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2869" w:type="dxa"/>
            <w:vMerge w:val="restart"/>
            <w:tcBorders>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261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trPr>
        <w:tc>
          <w:tcPr>
            <w:tcW w:w="2082"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2869" w:type="dxa"/>
            <w:vMerge w:val="continue"/>
            <w:tcBorders>
              <w:bottom w:val="single" w:color="000000" w:sz="4" w:space="0"/>
            </w:tcBorders>
            <w:shd w:val="clear"/>
            <w:vAlign w:val="center"/>
          </w:tcPr>
          <w:p>
            <w:pPr>
              <w:rPr>
                <w:rFonts w:hint="eastAsia" w:ascii="宋体"/>
                <w:color w:val="383838"/>
                <w:sz w:val="18"/>
                <w:szCs w:val="18"/>
              </w:rPr>
            </w:pPr>
          </w:p>
        </w:tc>
        <w:tc>
          <w:tcPr>
            <w:tcW w:w="261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082"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2869" w:type="dxa"/>
            <w:vMerge w:val="continue"/>
            <w:tcBorders>
              <w:bottom w:val="single" w:color="000000" w:sz="4" w:space="0"/>
            </w:tcBorders>
            <w:shd w:val="clear"/>
            <w:vAlign w:val="center"/>
          </w:tcPr>
          <w:p>
            <w:pPr>
              <w:rPr>
                <w:rFonts w:hint="eastAsia" w:ascii="宋体"/>
                <w:color w:val="383838"/>
                <w:sz w:val="18"/>
                <w:szCs w:val="18"/>
              </w:rPr>
            </w:pPr>
          </w:p>
        </w:tc>
        <w:tc>
          <w:tcPr>
            <w:tcW w:w="261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951"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4951"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15812582.74</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7236968.20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8575614.54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公共安全支出</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13859924.54</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5784310.00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8075614.54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20408</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强制隔离戒毒</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13859924.54</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5784310.00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8075614.54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行政运行</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5163310.00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5163310.00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2040802</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一般行政管理事务</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1958614.54</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1958614.54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2040804</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强制隔离戒毒人员生活</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621000.00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621000.00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2040805</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强制隔离戒毒人员教育</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2040806</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firstLine="200"/>
              <w:jc w:val="left"/>
            </w:pPr>
            <w:r>
              <w:rPr>
                <w:rFonts w:hint="eastAsia" w:ascii="宋体" w:hAnsi="宋体" w:eastAsia="宋体" w:cs="宋体"/>
                <w:i w:val="0"/>
                <w:color w:val="000000"/>
                <w:sz w:val="20"/>
                <w:szCs w:val="20"/>
              </w:rPr>
              <w:t>所政设施建设</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4550000.00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2040899</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其他强制隔离戒毒支出</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1517000.00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1517000.00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社会保障和就业支出</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1259768.20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1259758.20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20805</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行政事业单位离退休</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1155648.20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1155648.20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归口管理的行政单位离退休</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1155648.20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1155648.20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20808</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抚恤</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104110.00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104110.00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2080801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死亡抚恤</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104110.00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104110.00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医疗卫生与计划生育支出</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21005</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医疗保障</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192900.00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2100501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行政单位医疗</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192900.00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192900.00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212</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城乡社区支出</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500000.00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21203</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城乡社区公共设施</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2120399</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firstLine="200"/>
              <w:jc w:val="left"/>
            </w:pPr>
            <w:r>
              <w:rPr>
                <w:rFonts w:hint="eastAsia" w:ascii="宋体" w:hAnsi="宋体" w:eastAsia="宋体" w:cs="宋体"/>
                <w:i w:val="0"/>
                <w:color w:val="000000"/>
                <w:sz w:val="20"/>
                <w:szCs w:val="20"/>
              </w:rPr>
              <w:t>其他城乡社区公共设施支出</w:t>
            </w:r>
          </w:p>
        </w:tc>
        <w:tc>
          <w:tcPr>
            <w:tcW w:w="261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500000.00&lt;, /SPAN&gt;</w:t>
            </w:r>
          </w:p>
        </w:tc>
        <w:tc>
          <w:tcPr>
            <w:tcW w:w="17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074" w:type="dxa"/>
            <w:gridSpan w:val="7"/>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注：本表反映部门本年度一般公共预算财政拨款实际支出情况。   </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0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10"/>
        <w:gridCol w:w="3645"/>
        <w:gridCol w:w="1785"/>
        <w:gridCol w:w="1110"/>
        <w:gridCol w:w="3645"/>
        <w:gridCol w:w="1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3079" w:type="dxa"/>
            <w:gridSpan w:val="6"/>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4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8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1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4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8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4755" w:type="dxa"/>
            <w:gridSpan w:val="2"/>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1785"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2015年度</w:t>
            </w:r>
          </w:p>
        </w:tc>
        <w:tc>
          <w:tcPr>
            <w:tcW w:w="111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45"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84"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540" w:type="dxa"/>
            <w:gridSpan w:val="3"/>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人员经费</w:t>
            </w:r>
          </w:p>
        </w:tc>
        <w:tc>
          <w:tcPr>
            <w:tcW w:w="6539"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经济分类科目编码</w:t>
            </w:r>
          </w:p>
        </w:tc>
        <w:tc>
          <w:tcPr>
            <w:tcW w:w="3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8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c>
          <w:tcPr>
            <w:tcW w:w="1110"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经济分类科目编码</w:t>
            </w:r>
          </w:p>
        </w:tc>
        <w:tc>
          <w:tcPr>
            <w:tcW w:w="364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8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645"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1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364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8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工资福利支出</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4820740.00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商品和服务支出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535470.00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基本工资</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996001.00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办公费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128450.00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津贴补贴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2510368.00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印刷费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32578.00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奖金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1099846.00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咨询费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其他社会保障缴费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214525.00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手续费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伙食补助费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水费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22342.00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绩效工资</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电费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32413.00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机关事业单位基本养老保险缴费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邮电费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34731.00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职业年金缴费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383838"/>
                <w:sz w:val="20"/>
                <w:szCs w:val="20"/>
              </w:rPr>
              <w:t>30208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取暖费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其他工资福利支出</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物业管理费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12432.00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对个人和家庭的补助</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1880758.20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差旅费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43426.00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离休费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因公出国（境）费用</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退休费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1142688.20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维修(护)费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45233.00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退职（役）费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租赁费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抚恤金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104110.00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会议费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生活补助</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633960.00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培训费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30519.00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救济费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公务接待费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医疗费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专用材料费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助学金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被装购置费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奖励金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专用燃料费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生产补贴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劳务费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1" w:line="360" w:lineRule="atLeast"/>
              <w:ind w:left="0" w:right="0"/>
              <w:jc w:val="left"/>
            </w:pPr>
            <w:r>
              <w:rPr>
                <w:rFonts w:hint="eastAsia" w:ascii="宋体" w:hAnsi="宋体" w:eastAsia="宋体" w:cs="宋体"/>
                <w:i w:val="0"/>
                <w:color w:val="000000"/>
                <w:sz w:val="20"/>
                <w:szCs w:val="20"/>
              </w:rPr>
              <w:t>  住房公积金</w:t>
            </w:r>
          </w:p>
        </w:tc>
        <w:tc>
          <w:tcPr>
            <w:tcW w:w="1785" w:type="dxa"/>
            <w:tcBorders>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委托业务费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提租补贴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工会经费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购房补贴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福利费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34578.00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采暖补贴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30231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公务用车运行维护费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87568.00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物业服务补贴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30239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其他交通费用</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其他对个人和家庭的补助支出</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30240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税金及附加费用</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其他商品和服务支出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310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其他资本性支出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房屋建筑物购建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办公设备购置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专用设备购置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基础设施建设</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大型修缮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31007</w:t>
            </w:r>
          </w:p>
        </w:tc>
        <w:tc>
          <w:tcPr>
            <w:tcW w:w="3645" w:type="dxa"/>
            <w:tcBorders>
              <w:bottom w:val="single" w:color="000000" w:sz="4" w:space="0"/>
              <w:right w:val="nil"/>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信息网络及软件购置更新</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物资储备</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土地补偿</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安置补助</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地上附着物和青苗补偿</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拆迁补偿</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公务用车购置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其他交通工具购置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31020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产权参股</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其他资本性支出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对企事业单位的补贴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企业政策性补贴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事业单位补贴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财政贴息</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其他对企事业单位的补贴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债务利息支出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30701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国内债务付息</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30707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国外债务付息</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其他支出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39906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赠与</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4755" w:type="dxa"/>
            <w:gridSpan w:val="2"/>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人员经费合计</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6701498.20</w:t>
            </w:r>
          </w:p>
        </w:tc>
        <w:tc>
          <w:tcPr>
            <w:tcW w:w="4755"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公用经费合计</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535470.00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079" w:type="dxa"/>
            <w:gridSpan w:val="6"/>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注：本表反映部门本年度一般公共预算财政拨款基本支出明细情况。 </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8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77"/>
        <w:gridCol w:w="657"/>
        <w:gridCol w:w="1223"/>
        <w:gridCol w:w="1371"/>
        <w:gridCol w:w="1250"/>
        <w:gridCol w:w="1267"/>
        <w:gridCol w:w="1196"/>
        <w:gridCol w:w="643"/>
        <w:gridCol w:w="1223"/>
        <w:gridCol w:w="1358"/>
        <w:gridCol w:w="1263"/>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3884" w:type="dxa"/>
            <w:gridSpan w:val="12"/>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27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65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7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5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9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64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5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5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4528"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1250"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7"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2015年度</w:t>
            </w:r>
          </w:p>
        </w:tc>
        <w:tc>
          <w:tcPr>
            <w:tcW w:w="119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643"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3"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58"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3"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56"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7045" w:type="dxa"/>
            <w:gridSpan w:val="6"/>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2015年度预算数</w:t>
            </w:r>
          </w:p>
        </w:tc>
        <w:tc>
          <w:tcPr>
            <w:tcW w:w="6839" w:type="dxa"/>
            <w:gridSpan w:val="6"/>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2015年度决算数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277" w:type="dxa"/>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合计</w:t>
            </w:r>
          </w:p>
        </w:tc>
        <w:tc>
          <w:tcPr>
            <w:tcW w:w="657"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因公出国（境）费</w:t>
            </w:r>
          </w:p>
        </w:tc>
        <w:tc>
          <w:tcPr>
            <w:tcW w:w="3844" w:type="dxa"/>
            <w:gridSpan w:val="3"/>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公务用车购置及运行费</w:t>
            </w:r>
          </w:p>
        </w:tc>
        <w:tc>
          <w:tcPr>
            <w:tcW w:w="1267"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公务接待费</w:t>
            </w:r>
          </w:p>
        </w:tc>
        <w:tc>
          <w:tcPr>
            <w:tcW w:w="1196"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合计</w:t>
            </w:r>
          </w:p>
        </w:tc>
        <w:tc>
          <w:tcPr>
            <w:tcW w:w="643"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因公出国（境）费</w:t>
            </w:r>
          </w:p>
        </w:tc>
        <w:tc>
          <w:tcPr>
            <w:tcW w:w="3844" w:type="dxa"/>
            <w:gridSpan w:val="3"/>
            <w:tcBorders>
              <w:bottom w:val="nil"/>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公务用车购置及运行费</w:t>
            </w:r>
          </w:p>
        </w:tc>
        <w:tc>
          <w:tcPr>
            <w:tcW w:w="1156"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90" w:hRule="atLeast"/>
        </w:trPr>
        <w:tc>
          <w:tcPr>
            <w:tcW w:w="1277" w:type="dxa"/>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657"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小计</w:t>
            </w:r>
          </w:p>
        </w:tc>
        <w:tc>
          <w:tcPr>
            <w:tcW w:w="137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公务用车购置费</w:t>
            </w:r>
          </w:p>
        </w:tc>
        <w:tc>
          <w:tcPr>
            <w:tcW w:w="12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公务用车运行费</w:t>
            </w:r>
          </w:p>
        </w:tc>
        <w:tc>
          <w:tcPr>
            <w:tcW w:w="1267"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196"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643"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小计</w:t>
            </w:r>
          </w:p>
        </w:tc>
        <w:tc>
          <w:tcPr>
            <w:tcW w:w="135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公务用车购置费</w:t>
            </w:r>
          </w:p>
        </w:tc>
        <w:tc>
          <w:tcPr>
            <w:tcW w:w="126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公务用车运行费</w:t>
            </w:r>
          </w:p>
        </w:tc>
        <w:tc>
          <w:tcPr>
            <w:tcW w:w="1156"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277"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65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137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12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126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c>
          <w:tcPr>
            <w:tcW w:w="119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7</w:t>
            </w:r>
          </w:p>
        </w:tc>
        <w:tc>
          <w:tcPr>
            <w:tcW w:w="6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8</w:t>
            </w: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9</w:t>
            </w:r>
          </w:p>
        </w:tc>
        <w:tc>
          <w:tcPr>
            <w:tcW w:w="135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383838"/>
                <w:sz w:val="20"/>
                <w:szCs w:val="20"/>
              </w:rPr>
              <w:t>10</w:t>
            </w:r>
          </w:p>
        </w:tc>
        <w:tc>
          <w:tcPr>
            <w:tcW w:w="1263" w:type="dxa"/>
            <w:tcBorders>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11</w:t>
            </w:r>
          </w:p>
        </w:tc>
        <w:tc>
          <w:tcPr>
            <w:tcW w:w="115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1277" w:type="dxa"/>
            <w:tcBorders>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285580</w:t>
            </w:r>
          </w:p>
        </w:tc>
        <w:tc>
          <w:tcPr>
            <w:tcW w:w="657"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239500</w:t>
            </w:r>
          </w:p>
        </w:tc>
        <w:tc>
          <w:tcPr>
            <w:tcW w:w="1371"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50"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239500</w:t>
            </w:r>
          </w:p>
        </w:tc>
        <w:tc>
          <w:tcPr>
            <w:tcW w:w="1267"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46080</w:t>
            </w:r>
          </w:p>
        </w:tc>
        <w:tc>
          <w:tcPr>
            <w:tcW w:w="1196"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266728</w:t>
            </w:r>
          </w:p>
        </w:tc>
        <w:tc>
          <w:tcPr>
            <w:tcW w:w="64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218349.00</w:t>
            </w:r>
          </w:p>
        </w:tc>
        <w:tc>
          <w:tcPr>
            <w:tcW w:w="1358"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6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218349.00</w:t>
            </w:r>
          </w:p>
        </w:tc>
        <w:tc>
          <w:tcPr>
            <w:tcW w:w="1156"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48379.00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13884" w:type="dxa"/>
            <w:gridSpan w:val="12"/>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注：本表反映部门本年度“三公”经费支出预决算情况。其中，2015年度预算数为“三公”经费年初预算数，决算数是包括当年一般公共预算财政拨款和以前年度结转</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资金安排的实际支出。</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42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3"/>
        <w:gridCol w:w="923"/>
        <w:gridCol w:w="923"/>
        <w:gridCol w:w="3288"/>
        <w:gridCol w:w="1501"/>
        <w:gridCol w:w="1475"/>
        <w:gridCol w:w="1432"/>
        <w:gridCol w:w="1604"/>
        <w:gridCol w:w="1432"/>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4289"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30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28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50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7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60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0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5437"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2"/>
                <w:szCs w:val="22"/>
              </w:rPr>
              <w:t>部门：河南省濮阳市强制隔离戒毒所</w:t>
            </w:r>
          </w:p>
        </w:tc>
        <w:tc>
          <w:tcPr>
            <w:tcW w:w="150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2015年度</w:t>
            </w:r>
          </w:p>
        </w:tc>
        <w:tc>
          <w:tcPr>
            <w:tcW w:w="147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604"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0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5437"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150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年初结转和结余</w:t>
            </w:r>
          </w:p>
        </w:tc>
        <w:tc>
          <w:tcPr>
            <w:tcW w:w="147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本年收入</w:t>
            </w:r>
          </w:p>
        </w:tc>
        <w:tc>
          <w:tcPr>
            <w:tcW w:w="4468"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本年支出</w:t>
            </w:r>
          </w:p>
        </w:tc>
        <w:tc>
          <w:tcPr>
            <w:tcW w:w="1408"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149" w:type="dxa"/>
            <w:gridSpan w:val="3"/>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328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50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7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小计</w:t>
            </w:r>
          </w:p>
        </w:tc>
        <w:tc>
          <w:tcPr>
            <w:tcW w:w="160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基本支出</w:t>
            </w:r>
          </w:p>
        </w:tc>
        <w:tc>
          <w:tcPr>
            <w:tcW w:w="143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项目支出</w:t>
            </w:r>
          </w:p>
        </w:tc>
        <w:tc>
          <w:tcPr>
            <w:tcW w:w="140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149" w:type="dxa"/>
            <w:gridSpan w:val="3"/>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88"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50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7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60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0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149" w:type="dxa"/>
            <w:gridSpan w:val="3"/>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88"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50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7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60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0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5437"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150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4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16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140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5437"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150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6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0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149"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28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50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6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0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14289"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注：本表反映部门本年度政府性基金预算财政拨款收入支出及结转和结余情况。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jc w:val="both"/>
      </w:pPr>
    </w:p>
    <w:p>
      <w:pPr>
        <w:pStyle w:val="2"/>
        <w:keepNext w:val="0"/>
        <w:keepLines w:val="0"/>
        <w:widowControl/>
        <w:suppressLineNumbers w:val="0"/>
        <w:shd w:val="clear" w:fill="FFFFFF"/>
        <w:spacing w:before="0" w:beforeAutospacing="0" w:after="0" w:afterAutospacing="0"/>
        <w:ind w:left="0" w:right="0" w:firstLine="1600"/>
        <w:jc w:val="both"/>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第三部分 2015年度决算情况说明</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一、收入支出决算总体情况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濮阳市强制隔离戒毒所2015年收支总决算1771.08万元。其中：</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（一）收入总计1771.08万元。包括：</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1、财政拨款收入1573.40万元，比2014年决算数增加229.68万元，增长17.09%。主要原因是单位性质改变，由接收劳教人员变为接收戒毒人员，戒毒人员的管理专项费用提高。</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2、上年结转和结余197.68万元，为以前年度支出预算因客观条件变化未执行完毕的项目等原因，结转到本年度按有关规定继续使用的资金。比2014年决算数增加36.52万元，增长22.66%。</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（二）支出总计1771.08万元。包括：</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1、公共安全支出1385.99万元，主要用于保障单位正常运转的基本支出以及为完成强制隔离戒毒工作而发生的项目支出。比2014年决算数增加203.67万元，增长17.23%，主要原因是各项经费的增加。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2、社会保障和就业支出125.98万元，主要用于退休人员经费支出，比2014年决算数增加19.92万元，增长18.78%，主要是抚恤金和生活补助的增加。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3、医疗卫生与计划生育支出19.29万元，主要用于单位医疗支出，与2014年决算数基本持平。</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4、城乡社区支出50万元，主要用于城乡社区设施建设。</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5、年末结转和结余189.82万元，为本年度或以前年度预算因客观条件变化未执行完毕的项目等原因，需要延续到以后年度按有关规定继续使用的资金，比2014年决算数减少7.86万元，减少3.98%。主要原因是单位加强资金管理，提高资金使用效率所形成的结转和结余。</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二、收入决算情况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濮阳市强制隔离戒毒所2015年度收入1573.40万元，全部为财政拨款收入，比2014年决算数增加229.68万元，增长17.09%。</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三、支出决算情况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2015年度支出决算1581.26万元，比2014年度增加274.06万元，增长20.97%。其中：基本支出723.70万元，占总支出的45.78%，比2014年决算数增加106.98万元，增长17.35%，主要是由于人员经费的增加；项目支出857.56万元，占总支出的54.22%，比2014年决算数增加167.08万元，增长24.20%，主要是其他戒毒支出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18"/>
          <w:szCs w:val="18"/>
          <w:shd w:val="clear" w:fill="FFFFFF"/>
        </w:rPr>
        <w:t>四、</w:t>
      </w:r>
      <w:r>
        <w:rPr>
          <w:rFonts w:hint="eastAsia" w:ascii="仿宋_GB2312" w:hAnsi="微软雅黑" w:eastAsia="仿宋_GB2312" w:cs="仿宋_GB2312"/>
          <w:i w:val="0"/>
          <w:caps w:val="0"/>
          <w:color w:val="383838"/>
          <w:spacing w:val="0"/>
          <w:sz w:val="30"/>
          <w:szCs w:val="30"/>
          <w:shd w:val="clear" w:fill="FFFFFF"/>
        </w:rPr>
        <w:t>财政拨款收入支出情况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濮阳市强制隔离戒毒所2015年度财政拨款收支总预算1771.08万元。与2014年相比，财政拨款收支总计各增加266.20万元，增长17.69%。&lt;o, :p=""&gt;</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五、一般公共预算财政拨款支出决算情况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2015年度公共预算财政拨款支出决算反映的是公共预算财政拨款支出总体情况，既包括使用本年度从市财政取得的公共预算财政拨款发生的支出，也包括使用上年度公共预算财政拨款结转和结余资金发生的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（一）濮阳市强制隔离戒毒所2015年度一般公共预算财政拨款支出1581.26万元，其中基本支出723.70万元，占45.78%，项目支出857.56万元，占54.22%。</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（二）一般公共预算财政拨款支出决算构成情况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公共安全支出1385.99万元，占87.65%，社会保障和就业支出125.98万元，占7.97%，医疗卫生与计划生育支出19.29万元，占1.22%；城乡社区支出50万元，占3.16%。</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（三）一般公共预算财政拨款支出决算具体情况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1、公共安全支出1385.99万元，主要用于保障单位正常运转的基本支出以及为完成强制隔离戒毒工作而发生的项目支出。其中：</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（1）行政运行财政拨款支出516.33万元，比2015年年初预算增加150.72万元，增幅为41.22%，主要是人员经费的增加。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（2）一般行政管理事务财政拨款支出195.86万元，比2015年年初预算增加172.56万元，主要是警戒护卫队员费的增加。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（3）强制隔离戒毒人员生活财政拨款支出62.10万元，比2015年年初预算增加30万元，主要是戒毒人员生活补助的增加。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（4）强制隔离戒毒人员教育财政拨款支出5万元，与2015年年初预算持平。</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（5）其他强制隔离戒毒财政拨款支出151.70万元，比2015年年初预算增加80万元，增幅为111.57%，主要是此款项目上年有结转资金。</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（6）所政设施建设支出455万元，比2015年年初预算增加452万元。</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2、社会保障和就业支出125.98万元，主要用于退休人员经费支出。其中：</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（1）行政事业单位离退休支出115.56万元，比2015年年初预算增加16.44万元，增幅为16.59%。</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（2）抚恤金支出10.42万元。</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3、医疗保险支出19.29万元。</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4、城乡设施建设支出50万元。</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六、一般公共预算财政拨款基本支出决算情况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濮阳市强制隔离戒毒所2015年一般公共预算基本支出723.70万元，其中人员经费670.15万元，公用经费53.55万元，主要用于商品和服务支出、对个人和家庭的补助等。</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七、“三公”经费财政拨款支出决算情况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2015年“三公”经费决算数为26.67万元，其中：因公出国（境）费为0万元，公务用车运行维护费为21.83万元，公务接待费为4.84万元。2015年“三公”经费比上年减少12.7万元。</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八、政府性基金预算收入支出情况说明</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2015年没有使用政府性基金预算拨款安排的收入和支出。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九、其他重要事项</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（一）政府采购支出情况。</w:t>
      </w:r>
      <w:r>
        <w:rPr>
          <w:rFonts w:hint="eastAsia" w:ascii="仿宋_GB2312" w:hAnsi="微软雅黑" w:eastAsia="仿宋_GB2312" w:cs="仿宋_GB2312"/>
          <w:i w:val="0"/>
          <w:caps w:val="0"/>
          <w:color w:val="383838"/>
          <w:spacing w:val="0"/>
          <w:sz w:val="32"/>
          <w:szCs w:val="32"/>
          <w:shd w:val="clear" w:fill="FFFFFF"/>
        </w:rPr>
        <w:t>本部门本年内未安排政府采购相关支出。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（二）国有资产占用情况。截止2015年12月31日，本单位共有车辆 8辆，其中：一般公务用车1辆、一般执法执勤用车7辆；单位价值50万元以上通用设备1套，单位价值100万元以上专用设备3套。</w:t>
      </w:r>
    </w:p>
    <w:p>
      <w:pPr>
        <w:pStyle w:val="2"/>
        <w:keepNext w:val="0"/>
        <w:keepLines w:val="0"/>
        <w:widowControl/>
        <w:suppressLineNumbers w:val="0"/>
        <w:shd w:val="clear" w:fill="FFFFFF"/>
        <w:spacing w:before="156" w:beforeAutospacing="0" w:after="0" w:afterAutospacing="0" w:line="270" w:lineRule="atLeast"/>
        <w:ind w:left="0" w:right="0" w:firstLine="56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(三)机关运行经费支出情况</w:t>
      </w:r>
      <w:r>
        <w:rPr>
          <w:rFonts w:hint="eastAsia" w:ascii="仿宋_GB2312" w:hAnsi="微软雅黑" w:eastAsia="仿宋_GB2312" w:cs="仿宋_GB2312"/>
          <w:b/>
          <w:i w:val="0"/>
          <w:caps w:val="0"/>
          <w:color w:val="383838"/>
          <w:spacing w:val="0"/>
          <w:sz w:val="30"/>
          <w:szCs w:val="30"/>
          <w:shd w:val="clear" w:fill="FFFFFF"/>
        </w:rPr>
        <w:t>。</w:t>
      </w:r>
    </w:p>
    <w:p>
      <w:pPr>
        <w:pStyle w:val="2"/>
        <w:keepNext w:val="0"/>
        <w:keepLines w:val="0"/>
        <w:widowControl/>
        <w:suppressLineNumbers w:val="0"/>
        <w:shd w:val="clear" w:fill="FFFFFF"/>
        <w:spacing w:before="156" w:beforeAutospacing="0" w:after="0" w:afterAutospacing="0" w:line="270" w:lineRule="atLeast"/>
        <w:ind w:left="0" w:right="0" w:firstLine="56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濮阳市强制隔离戒毒所2015年机关运行经费支出53.55万元，比 2014年减少4.45万元，下降7.67%。主要原因：按照规定严格控制各项开支。</w:t>
      </w:r>
    </w:p>
    <w:p>
      <w:pPr>
        <w:pStyle w:val="2"/>
        <w:keepNext w:val="0"/>
        <w:keepLines w:val="0"/>
        <w:widowControl/>
        <w:suppressLineNumbers w:val="0"/>
        <w:shd w:val="clear" w:fill="FFFFFF"/>
        <w:spacing w:before="0" w:beforeAutospacing="0" w:after="0" w:afterAutospacing="0" w:line="270" w:lineRule="atLeast"/>
        <w:ind w:left="42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（四）预算绩效情况说明</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完成了场所设施的维修，优化了干警职工的工作环境，改善了强戒人员的生活、教育、生产等场所，强化管理人员，购置警用装备，从而提高戒毒人员的教育矫治工作质量，降低复吸率，促进场所持续安全稳定。</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第四部分 名词解释</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一、收入科目</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（一）财政拨款收入：是指市级财政当年拨付的资金。</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（二）上年结转和结余：是指以前年度支出预算因客观条件变化未执行完毕、结转到本年度按有关规定继续使用的资金。</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二、支出科目</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（一）基本支出：是指为保障机构正常运转、完成日常工作任务所必需的开支，其内容包括人员经费和日常公用经费两部分。</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（二）项目支出：是指在基本支出之外，为完成特定的行政工作任务所发生的支出。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（三）一般行政管理事务：是指单位的项目支出。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（四）行政运行：是指为保障单位正常运转、完成日常工作任务安排的支出。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五）“三公”经费：是指纳入市级财政预算管理，单位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shd w:val="clear" w:fill="FFFFFF"/>
        <w:spacing w:before="156" w:beforeAutospacing="0" w:after="0" w:afterAutospacing="0" w:line="270" w:lineRule="atLeast"/>
        <w:ind w:left="0" w:right="0" w:firstLine="56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六）机关运行经费：是指为保障行政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619BA"/>
    <w:rsid w:val="296619BA"/>
    <w:rsid w:val="3DA02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2020-10-30T06:35:00Z</dcterms:created>
  <dc:creator>kuspace</dc:creator>
  <cp:lastModifiedBy>kuspace</cp:lastModifiedBy>
  <dcterms:modified xsi:type="dcterms:W3CDTF">2020-10-30T06:35:31Z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